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86BD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spacing w:val="-8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8"/>
          <w:sz w:val="36"/>
          <w:szCs w:val="36"/>
        </w:rPr>
        <w:t>中国教育技术协会高等学校数据治理专业委员会（筹）</w:t>
      </w:r>
    </w:p>
    <w:p w14:paraId="49CCD6B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spacing w:val="-8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eastAsia="zh-CN"/>
        </w:rPr>
        <w:t>高等学校“一张表工程”优秀案例</w:t>
      </w:r>
      <w:r>
        <w:rPr>
          <w:rFonts w:hint="eastAsia" w:ascii="宋体" w:hAnsi="宋体" w:eastAsia="宋体" w:cs="宋体"/>
          <w:b/>
          <w:bCs/>
          <w:spacing w:val="-8"/>
          <w:sz w:val="36"/>
          <w:szCs w:val="36"/>
        </w:rPr>
        <w:t>评审标准（试行）</w:t>
      </w:r>
    </w:p>
    <w:p w14:paraId="7715813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spacing w:val="-8"/>
          <w:sz w:val="11"/>
          <w:szCs w:val="11"/>
        </w:rPr>
      </w:pPr>
    </w:p>
    <w:p w14:paraId="67116CC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中国教育技术协会高等学校数据治理专业委员会（筹）（以下简称“专委会”），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</w:t>
      </w:r>
      <w:r>
        <w:rPr>
          <w:rFonts w:hint="eastAsia" w:ascii="宋体" w:hAnsi="宋体" w:eastAsia="宋体" w:cs="宋体"/>
          <w:sz w:val="28"/>
          <w:szCs w:val="28"/>
        </w:rPr>
        <w:t>中国教育技术协会高等学校数据治理专业委员会（筹）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高等学校“一张表工程”优秀案例</w:t>
      </w:r>
      <w:r>
        <w:rPr>
          <w:rFonts w:hint="eastAsia" w:ascii="宋体" w:hAnsi="宋体" w:eastAsia="宋体" w:cs="宋体"/>
          <w:sz w:val="28"/>
          <w:szCs w:val="28"/>
        </w:rPr>
        <w:t>评选办法（试行）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》，由专委会组织领域专家共同制定评审标准。</w:t>
      </w:r>
    </w:p>
    <w:p w14:paraId="289169D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高等学校“一张表工程”优秀案例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评审标准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分为两大类，一类为基础得分，另一类为额外得分，基础得分的评选将重点关注规范性、针对性、创新性、实效性及可持续性五个核心维度，额外得分的评选将重点关注可推广性、前瞻性及附件材料完整性三个核心维度，基础得分满分100分，额外得分满分20分。具体标准如表1所示：</w:t>
      </w:r>
    </w:p>
    <w:p w14:paraId="676B979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 w14:paraId="458CBC8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表1 高等学校“一张表工程”优秀案例评审标准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353"/>
        <w:gridCol w:w="2172"/>
        <w:gridCol w:w="2468"/>
        <w:gridCol w:w="2706"/>
      </w:tblGrid>
      <w:tr w14:paraId="2386E4D9">
        <w:trPr>
          <w:trHeight w:val="593" w:hRule="atLeast"/>
        </w:trPr>
        <w:tc>
          <w:tcPr>
            <w:tcW w:w="1263" w:type="dxa"/>
            <w:shd w:val="clear" w:color="auto" w:fill="D7D7D7" w:themeFill="background1" w:themeFillShade="D8"/>
            <w:vAlign w:val="center"/>
          </w:tcPr>
          <w:p w14:paraId="615EF9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评审类别</w:t>
            </w:r>
          </w:p>
        </w:tc>
        <w:tc>
          <w:tcPr>
            <w:tcW w:w="1353" w:type="dxa"/>
            <w:shd w:val="clear" w:color="auto" w:fill="D7D7D7" w:themeFill="background1" w:themeFillShade="D8"/>
            <w:vAlign w:val="center"/>
          </w:tcPr>
          <w:p w14:paraId="08AE81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维度</w:t>
            </w:r>
          </w:p>
        </w:tc>
        <w:tc>
          <w:tcPr>
            <w:tcW w:w="2172" w:type="dxa"/>
            <w:shd w:val="clear" w:color="auto" w:fill="D7D7D7" w:themeFill="background1" w:themeFillShade="D8"/>
            <w:vAlign w:val="center"/>
          </w:tcPr>
          <w:p w14:paraId="5A0E77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描述</w:t>
            </w:r>
          </w:p>
        </w:tc>
        <w:tc>
          <w:tcPr>
            <w:tcW w:w="2468" w:type="dxa"/>
            <w:shd w:val="clear" w:color="auto" w:fill="D7D7D7" w:themeFill="background1" w:themeFillShade="D8"/>
            <w:vAlign w:val="center"/>
          </w:tcPr>
          <w:p w14:paraId="7C4E87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参考重点</w:t>
            </w:r>
          </w:p>
        </w:tc>
        <w:tc>
          <w:tcPr>
            <w:tcW w:w="2706" w:type="dxa"/>
            <w:shd w:val="clear" w:color="auto" w:fill="D7D7D7" w:themeFill="background1" w:themeFillShade="D8"/>
            <w:vAlign w:val="center"/>
          </w:tcPr>
          <w:p w14:paraId="4CE14E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举例说明</w:t>
            </w:r>
          </w:p>
        </w:tc>
      </w:tr>
      <w:tr w14:paraId="0FAD8502">
        <w:tc>
          <w:tcPr>
            <w:tcW w:w="1263" w:type="dxa"/>
            <w:vMerge w:val="restart"/>
            <w:vAlign w:val="center"/>
          </w:tcPr>
          <w:p w14:paraId="7C1AC5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基础得分</w:t>
            </w:r>
          </w:p>
          <w:p w14:paraId="1F4C8E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（100分）</w:t>
            </w:r>
          </w:p>
        </w:tc>
        <w:tc>
          <w:tcPr>
            <w:tcW w:w="1353" w:type="dxa"/>
            <w:vAlign w:val="center"/>
          </w:tcPr>
          <w:p w14:paraId="4479FD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规范性</w:t>
            </w:r>
          </w:p>
          <w:p w14:paraId="64768D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2172" w:type="dxa"/>
            <w:vAlign w:val="center"/>
          </w:tcPr>
          <w:p w14:paraId="4CCE0E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案例申报书格式合规性，确保基础信息完整且符合模板要求。</w:t>
            </w:r>
          </w:p>
        </w:tc>
        <w:tc>
          <w:tcPr>
            <w:tcW w:w="2468" w:type="dxa"/>
            <w:vAlign w:val="center"/>
          </w:tcPr>
          <w:p w14:paraId="7DC6811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必填模块完整性（如题目/署名/摘要/案例概况/思路做法/工作成效）</w:t>
            </w:r>
          </w:p>
          <w:p w14:paraId="7333AA4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字数控制</w:t>
            </w:r>
          </w:p>
          <w:p w14:paraId="1005F19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署名合规性</w:t>
            </w:r>
          </w:p>
        </w:tc>
        <w:tc>
          <w:tcPr>
            <w:tcW w:w="2706" w:type="dxa"/>
            <w:vAlign w:val="center"/>
          </w:tcPr>
          <w:p w14:paraId="3C3037F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符合：包含全部必填模块，摘要200字内，署名5人</w:t>
            </w:r>
          </w:p>
          <w:p w14:paraId="21435F1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不符：缺少“工作成效”模块，摘要超300字</w:t>
            </w:r>
          </w:p>
        </w:tc>
      </w:tr>
      <w:tr w14:paraId="6176E794">
        <w:tc>
          <w:tcPr>
            <w:tcW w:w="1263" w:type="dxa"/>
            <w:vMerge w:val="continue"/>
            <w:vAlign w:val="center"/>
          </w:tcPr>
          <w:p w14:paraId="7AA37A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183338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针对性</w:t>
            </w:r>
          </w:p>
          <w:p w14:paraId="4E783F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8B26B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案例聚焦高校核心业务表单填报场景的痛点，明确界定管理效能或服务体验问题，体现精准识别与解决。</w:t>
            </w:r>
          </w:p>
        </w:tc>
        <w:tc>
          <w:tcPr>
            <w:tcW w:w="2468" w:type="dxa"/>
            <w:vAlign w:val="center"/>
          </w:tcPr>
          <w:p w14:paraId="5E045FA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痛点典型性（如跨部门业务办理耗时长、考核业务开展协同难）</w:t>
            </w:r>
          </w:p>
          <w:p w14:paraId="32731FB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问题与高校内部治理的关联性</w:t>
            </w:r>
          </w:p>
        </w:tc>
        <w:tc>
          <w:tcPr>
            <w:tcW w:w="2706" w:type="dxa"/>
            <w:vAlign w:val="center"/>
          </w:tcPr>
          <w:p w14:paraId="028E7D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符合：明确诸如“年度考核”、“职称评审”等表单需15个部门线上签核，周期长达30天,过程中数据出现重复填报、反复填报</w:t>
            </w:r>
          </w:p>
          <w:p w14:paraId="4BE29C1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不符：仅描述“优化表单流程”，未量化问题</w:t>
            </w:r>
          </w:p>
        </w:tc>
      </w:tr>
      <w:tr w14:paraId="2F8F5D19">
        <w:tc>
          <w:tcPr>
            <w:tcW w:w="1263" w:type="dxa"/>
            <w:vMerge w:val="continue"/>
            <w:vAlign w:val="center"/>
          </w:tcPr>
          <w:p w14:paraId="09C5C8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3AF200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创新性</w:t>
            </w:r>
          </w:p>
          <w:p w14:paraId="5AD06D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（25分）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D7BC3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案例在表单场景优化中具有独创性或突破性，提供新思路/模式/技术/方法。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295B7C8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案例源于申报团队的自主研发或创新应用，具有明确的创新属性</w:t>
            </w:r>
          </w:p>
          <w:p w14:paraId="2FE8EDE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在技术应用、流程设计、管理模式或协同机制等方面有实质性创新</w:t>
            </w:r>
          </w:p>
          <w:p w14:paraId="78CA395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体现了对现有做法的显著改进或超越，或推动了新兴智能技术在表单场景中的有效落地</w:t>
            </w:r>
          </w:p>
          <w:p w14:paraId="4572EDF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是否取得相关软件著作权、专利或获得权威认可</w:t>
            </w:r>
          </w:p>
        </w:tc>
        <w:tc>
          <w:tcPr>
            <w:tcW w:w="2706" w:type="dxa"/>
            <w:vAlign w:val="center"/>
          </w:tcPr>
          <w:p w14:paraId="4619DD0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符合：通过数据+AI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，通过历史数据训练模型，自动填充80%的表单字段（误差率＜3%）</w:t>
            </w:r>
          </w:p>
          <w:p w14:paraId="1464A6A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不符：仅是将线下表单挪到了线上，直接从业务系统数据对到业务表单中，没有开展任何数据工作，没有做任何的流程改动或节省任何的工作环节</w:t>
            </w:r>
          </w:p>
        </w:tc>
      </w:tr>
      <w:tr w14:paraId="5FE06A7B">
        <w:tc>
          <w:tcPr>
            <w:tcW w:w="1263" w:type="dxa"/>
            <w:vMerge w:val="continue"/>
            <w:vAlign w:val="center"/>
          </w:tcPr>
          <w:p w14:paraId="4DB3B9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78CF24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实效性</w:t>
            </w:r>
          </w:p>
          <w:p w14:paraId="5BB062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（30分）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C043F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案例实施后取得显著、可衡量的实际成效，涵盖管理效能、服务体验等维度。</w:t>
            </w:r>
          </w:p>
        </w:tc>
        <w:tc>
          <w:tcPr>
            <w:tcW w:w="2468" w:type="dxa"/>
            <w:vAlign w:val="center"/>
          </w:tcPr>
          <w:p w14:paraId="77865CC5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案例已在实际业务中应用，并产生了明确、可验证的积极效果</w:t>
            </w:r>
          </w:p>
          <w:p w14:paraId="4406CA0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成效具有代表性，并能提供量化的数据支撑（如效率提升百分比、用户满意度提升、人力成本节约等）</w:t>
            </w:r>
          </w:p>
          <w:p w14:paraId="6E2CBD0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显著提升了相关业务的管理水平或服务质量</w:t>
            </w:r>
          </w:p>
        </w:tc>
        <w:tc>
          <w:tcPr>
            <w:tcW w:w="2706" w:type="dxa"/>
            <w:vAlign w:val="center"/>
          </w:tcPr>
          <w:p w14:paraId="3891E10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符合：表单业务从原先的7天降至2天，师生满意度从35%升至88%</w:t>
            </w:r>
          </w:p>
          <w:p w14:paraId="0EA9BD6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不符：仅描述“效率提升”，无数据支撑</w:t>
            </w:r>
          </w:p>
        </w:tc>
      </w:tr>
      <w:tr w14:paraId="3F9BD456">
        <w:tc>
          <w:tcPr>
            <w:tcW w:w="1263" w:type="dxa"/>
            <w:vMerge w:val="continue"/>
            <w:vAlign w:val="center"/>
          </w:tcPr>
          <w:p w14:paraId="707688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1D6339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可持续性</w:t>
            </w:r>
          </w:p>
          <w:p w14:paraId="32875F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（15分）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46D50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案例建立长效运行机制，具备技术、管理、资源等方面的稳定性与持续发展潜力。</w:t>
            </w:r>
          </w:p>
        </w:tc>
        <w:tc>
          <w:tcPr>
            <w:tcW w:w="2468" w:type="dxa"/>
            <w:vAlign w:val="center"/>
          </w:tcPr>
          <w:p w14:paraId="7172566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长效机制：运维制度、更新升级流程、治理监控体系</w:t>
            </w:r>
          </w:p>
          <w:p w14:paraId="2F0DE68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资源保障：稳定经费/团队/技术资源，不依赖一次性投入</w:t>
            </w:r>
          </w:p>
          <w:p w14:paraId="3A53C52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战略对齐：与高校数字化规划、教育政策（如“双一流”建设）的契合度</w:t>
            </w:r>
          </w:p>
        </w:tc>
        <w:tc>
          <w:tcPr>
            <w:tcW w:w="2706" w:type="dxa"/>
            <w:vAlign w:val="center"/>
          </w:tcPr>
          <w:p w14:paraId="7E724D7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符合：建立“年度迭代机制”，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具备持续的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投入，投入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占比5%，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组建有专项工作小组提供业务支持</w:t>
            </w:r>
          </w:p>
          <w:p w14:paraId="6E04446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不符：仅写“计划持续优化”，无具体制度或资源说明</w:t>
            </w:r>
          </w:p>
        </w:tc>
      </w:tr>
      <w:tr w14:paraId="152E0CBF">
        <w:tc>
          <w:tcPr>
            <w:tcW w:w="1263" w:type="dxa"/>
            <w:vMerge w:val="restart"/>
            <w:vAlign w:val="center"/>
          </w:tcPr>
          <w:p w14:paraId="49773D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额外得分（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0分）</w:t>
            </w:r>
          </w:p>
        </w:tc>
        <w:tc>
          <w:tcPr>
            <w:tcW w:w="1353" w:type="dxa"/>
            <w:vAlign w:val="center"/>
          </w:tcPr>
          <w:p w14:paraId="53D13D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可推广性</w:t>
            </w:r>
          </w:p>
          <w:p w14:paraId="39BF74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（7分）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E7CCF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案例经验在其他高校或场景的复制可行性，需明确适用条件与推广路径。</w:t>
            </w:r>
          </w:p>
        </w:tc>
        <w:tc>
          <w:tcPr>
            <w:tcW w:w="2468" w:type="dxa"/>
            <w:vAlign w:val="center"/>
          </w:tcPr>
          <w:p w14:paraId="66EDED0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案例的解决方案或实践模式标准化、易操作，能够适配多样化高校场景；</w:t>
            </w:r>
          </w:p>
          <w:p w14:paraId="02539AD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案例的经验和方法具备高度普适性，易于培训、转化和落地</w:t>
            </w:r>
          </w:p>
          <w:p w14:paraId="47180E4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已具备或可提供清晰的推广指南、操作手册或配套资源</w:t>
            </w:r>
          </w:p>
          <w:p w14:paraId="3300E2E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在推广过程中能根据实际情况灵活调整优化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657204D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符合：列出需具备的前置条件，推广分几步，分别应该怎么设计等</w:t>
            </w:r>
          </w:p>
          <w:p w14:paraId="71A0A1F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不符：未说明具体条件，无法说明如何进行推广或试行</w:t>
            </w:r>
          </w:p>
        </w:tc>
      </w:tr>
      <w:tr w14:paraId="163D1277">
        <w:tc>
          <w:tcPr>
            <w:tcW w:w="1263" w:type="dxa"/>
            <w:vMerge w:val="continue"/>
            <w:vAlign w:val="center"/>
          </w:tcPr>
          <w:p w14:paraId="5F36CE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09C0DE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前瞻性</w:t>
            </w:r>
          </w:p>
          <w:p w14:paraId="167547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（3分）</w:t>
            </w:r>
          </w:p>
        </w:tc>
        <w:tc>
          <w:tcPr>
            <w:tcW w:w="2172" w:type="dxa"/>
            <w:vAlign w:val="center"/>
          </w:tcPr>
          <w:p w14:paraId="4DB0DC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案例对未来高校表单场景发展趋势的适应性，体现战略眼光或技术预见性。</w:t>
            </w:r>
          </w:p>
        </w:tc>
        <w:tc>
          <w:tcPr>
            <w:tcW w:w="2468" w:type="dxa"/>
            <w:vAlign w:val="center"/>
          </w:tcPr>
          <w:p w14:paraId="134070E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政策契合度：与教育数字化政策的契合情况</w:t>
            </w:r>
          </w:p>
          <w:p w14:paraId="46BB7A3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技术前瞻性：如AI大模型融合</w:t>
            </w:r>
          </w:p>
        </w:tc>
        <w:tc>
          <w:tcPr>
            <w:tcW w:w="2706" w:type="dxa"/>
            <w:vAlign w:val="center"/>
          </w:tcPr>
          <w:p w14:paraId="2797383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符合：具备对未来下一步工作优化的明确安排与计划</w:t>
            </w:r>
          </w:p>
          <w:p w14:paraId="5423719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不符：未提及与未来趋势的关联</w:t>
            </w:r>
          </w:p>
        </w:tc>
      </w:tr>
      <w:tr w14:paraId="7FD9E7A0">
        <w:tc>
          <w:tcPr>
            <w:tcW w:w="1263" w:type="dxa"/>
            <w:vMerge w:val="continue"/>
            <w:vAlign w:val="center"/>
          </w:tcPr>
          <w:p w14:paraId="1D7028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 w14:paraId="2A4FC6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附件材料完整性</w:t>
            </w:r>
          </w:p>
          <w:p w14:paraId="630F18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2172" w:type="dxa"/>
            <w:vAlign w:val="center"/>
          </w:tcPr>
          <w:p w14:paraId="381650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firstLine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案例提供相关文件附件，可作为相关案例的佐证材料，体现相关业务的具体落地实践经验</w:t>
            </w:r>
          </w:p>
        </w:tc>
        <w:tc>
          <w:tcPr>
            <w:tcW w:w="2468" w:type="dxa"/>
            <w:vAlign w:val="center"/>
          </w:tcPr>
          <w:p w14:paraId="2EC483F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已具备或可提供数据模型结构附件，结构附有数据来源标识，具备可参考性与可复制性</w:t>
            </w:r>
          </w:p>
          <w:p w14:paraId="7823B08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已具备或可提供案例样例视频，可清晰演示整个落地过程</w:t>
            </w:r>
          </w:p>
          <w:p w14:paraId="277086A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已具备或可提供项目实施方案，方案详细说明角色定位、工作界面</w:t>
            </w:r>
          </w:p>
        </w:tc>
        <w:tc>
          <w:tcPr>
            <w:tcW w:w="2706" w:type="dxa"/>
            <w:vAlign w:val="center"/>
          </w:tcPr>
          <w:p w14:paraId="64BDFBC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符合：提供数据模型结构附件，具备具体的表单字段或者标准化数据结构</w:t>
            </w:r>
          </w:p>
          <w:p w14:paraId="0A8533A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tabs>
                <w:tab w:val="left" w:pos="210"/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不符合：提交与案例无关的材料</w:t>
            </w:r>
          </w:p>
        </w:tc>
      </w:tr>
    </w:tbl>
    <w:p w14:paraId="3A856C3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 w:firstLineChars="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34A02"/>
    <w:multiLevelType w:val="singleLevel"/>
    <w:tmpl w:val="91134A0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1D508C"/>
    <w:multiLevelType w:val="singleLevel"/>
    <w:tmpl w:val="5A1D508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16D5E"/>
    <w:rsid w:val="168D0F24"/>
    <w:rsid w:val="1BB90E2F"/>
    <w:rsid w:val="2FA63021"/>
    <w:rsid w:val="509D44EB"/>
    <w:rsid w:val="7B543333"/>
    <w:rsid w:val="7DBDECB4"/>
    <w:rsid w:val="B76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1758</Words>
  <Characters>1787</Characters>
  <Lines>0</Lines>
  <Paragraphs>0</Paragraphs>
  <TotalTime>73</TotalTime>
  <ScaleCrop>false</ScaleCrop>
  <LinksUpToDate>false</LinksUpToDate>
  <CharactersWithSpaces>1790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2025-08-12T19:55:00Z</dcterms:created>
  <dc:creator>ZGC</dc:creator>
  <cp:lastModifiedBy>吉爽</cp:lastModifiedBy>
  <dcterms:modified xsi:type="dcterms:W3CDTF">2025-08-19T11:08:08Z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KSOTemplateDocerSaveRecord">
    <vt:lpwstr>eyJoZGlkIjoiNWE0MzRhNzkxYzA0MGE0NDZjZTk4M2M3ZjBiMzliMzUiLCJ1c2VySWQiOiI5MTU1NjUyNDYifQ==</vt:lpwstr>
  </property>
  <property fmtid="{D5CDD505-2E9C-101B-9397-08002B2CF9AE}" pid="4" name="ICV">
    <vt:lpwstr>C4AC8D91931E48BD8634ABC9A9DB62FD_12</vt:lpwstr>
  </property>
</Properties>
</file>